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A13" w:rsidRDefault="00254A13">
      <w:pPr>
        <w:autoSpaceDE w:val="0"/>
        <w:autoSpaceDN w:val="0"/>
        <w:adjustRightInd w:val="0"/>
        <w:jc w:val="center"/>
        <w:rPr>
          <w:b/>
          <w:bCs/>
          <w:sz w:val="22"/>
          <w:szCs w:val="22"/>
        </w:rPr>
      </w:pPr>
      <w:bookmarkStart w:id="0" w:name="_GoBack"/>
      <w:bookmarkEnd w:id="0"/>
      <w:r>
        <w:rPr>
          <w:b/>
          <w:bCs/>
          <w:sz w:val="22"/>
          <w:szCs w:val="22"/>
        </w:rPr>
        <w:t>No. 04-1144</w:t>
      </w:r>
    </w:p>
    <w:p w:rsidR="00254A13" w:rsidRDefault="00254A13">
      <w:pPr>
        <w:autoSpaceDE w:val="0"/>
        <w:autoSpaceDN w:val="0"/>
        <w:adjustRightInd w:val="0"/>
        <w:jc w:val="center"/>
        <w:rPr>
          <w:sz w:val="22"/>
          <w:szCs w:val="22"/>
        </w:rPr>
      </w:pPr>
      <w:r>
        <w:rPr>
          <w:sz w:val="22"/>
          <w:szCs w:val="22"/>
        </w:rPr>
        <w:t>================================================================</w:t>
      </w:r>
    </w:p>
    <w:p w:rsidR="00254A13" w:rsidRDefault="00254A13">
      <w:pPr>
        <w:autoSpaceDE w:val="0"/>
        <w:autoSpaceDN w:val="0"/>
        <w:adjustRightInd w:val="0"/>
        <w:jc w:val="center"/>
        <w:rPr>
          <w:rFonts w:ascii="Arial" w:hAnsi="Arial" w:cs="Arial"/>
          <w:sz w:val="26"/>
          <w:szCs w:val="26"/>
        </w:rPr>
      </w:pPr>
      <w:r>
        <w:rPr>
          <w:rFonts w:ascii="Arial" w:hAnsi="Arial" w:cs="Arial"/>
          <w:sz w:val="26"/>
          <w:szCs w:val="26"/>
        </w:rPr>
        <w:t>In The</w:t>
      </w:r>
    </w:p>
    <w:p w:rsidR="00254A13" w:rsidRDefault="00254A13">
      <w:pPr>
        <w:autoSpaceDE w:val="0"/>
        <w:autoSpaceDN w:val="0"/>
        <w:adjustRightInd w:val="0"/>
        <w:jc w:val="center"/>
        <w:rPr>
          <w:rFonts w:ascii="Arial" w:hAnsi="Arial" w:cs="Arial"/>
          <w:sz w:val="39"/>
          <w:szCs w:val="39"/>
        </w:rPr>
      </w:pPr>
      <w:r>
        <w:rPr>
          <w:rFonts w:ascii="Arial" w:hAnsi="Arial" w:cs="Arial"/>
          <w:sz w:val="39"/>
          <w:szCs w:val="39"/>
        </w:rPr>
        <w:t>Supreme Court of the United States</w:t>
      </w:r>
    </w:p>
    <w:p w:rsidR="00254A13" w:rsidRDefault="00254A13">
      <w:pPr>
        <w:autoSpaceDE w:val="0"/>
        <w:autoSpaceDN w:val="0"/>
        <w:adjustRightInd w:val="0"/>
        <w:jc w:val="center"/>
        <w:rPr>
          <w:sz w:val="22"/>
          <w:szCs w:val="22"/>
        </w:rPr>
      </w:pPr>
    </w:p>
    <w:p w:rsidR="00254A13" w:rsidRDefault="00254A13">
      <w:pPr>
        <w:autoSpaceDE w:val="0"/>
        <w:autoSpaceDN w:val="0"/>
        <w:adjustRightInd w:val="0"/>
        <w:jc w:val="center"/>
        <w:rPr>
          <w:sz w:val="22"/>
          <w:szCs w:val="22"/>
        </w:rPr>
      </w:pPr>
      <w:r>
        <w:rPr>
          <w:sz w:val="22"/>
          <w:szCs w:val="22"/>
        </w:rPr>
        <w:t>KELLY A. AYOTTE, ATTORNEY GENERAL</w:t>
      </w:r>
    </w:p>
    <w:p w:rsidR="00254A13" w:rsidRDefault="00254A13">
      <w:pPr>
        <w:autoSpaceDE w:val="0"/>
        <w:autoSpaceDN w:val="0"/>
        <w:adjustRightInd w:val="0"/>
        <w:jc w:val="center"/>
        <w:rPr>
          <w:sz w:val="22"/>
          <w:szCs w:val="22"/>
        </w:rPr>
      </w:pPr>
      <w:r>
        <w:rPr>
          <w:sz w:val="22"/>
          <w:szCs w:val="22"/>
        </w:rPr>
        <w:t>OF THE STATE OF NEW HAMPSHIRE,</w:t>
      </w:r>
    </w:p>
    <w:p w:rsidR="00254A13" w:rsidRDefault="00254A13">
      <w:pPr>
        <w:autoSpaceDE w:val="0"/>
        <w:autoSpaceDN w:val="0"/>
        <w:adjustRightInd w:val="0"/>
        <w:jc w:val="center"/>
        <w:rPr>
          <w:sz w:val="22"/>
          <w:szCs w:val="22"/>
        </w:rPr>
      </w:pPr>
      <w:r>
        <w:rPr>
          <w:sz w:val="22"/>
          <w:szCs w:val="22"/>
        </w:rPr>
        <w:t>IN HER OFFICIAL CAPACITY,</w:t>
      </w:r>
    </w:p>
    <w:p w:rsidR="00254A13" w:rsidRDefault="00254A13">
      <w:pPr>
        <w:autoSpaceDE w:val="0"/>
        <w:autoSpaceDN w:val="0"/>
        <w:adjustRightInd w:val="0"/>
        <w:jc w:val="center"/>
        <w:rPr>
          <w:i/>
          <w:iCs/>
          <w:sz w:val="22"/>
          <w:szCs w:val="22"/>
        </w:rPr>
      </w:pPr>
      <w:r>
        <w:rPr>
          <w:i/>
          <w:iCs/>
          <w:sz w:val="22"/>
          <w:szCs w:val="22"/>
        </w:rPr>
        <w:t>Petitioner,</w:t>
      </w:r>
    </w:p>
    <w:p w:rsidR="00254A13" w:rsidRDefault="00254A13">
      <w:pPr>
        <w:autoSpaceDE w:val="0"/>
        <w:autoSpaceDN w:val="0"/>
        <w:adjustRightInd w:val="0"/>
        <w:jc w:val="center"/>
        <w:rPr>
          <w:sz w:val="22"/>
          <w:szCs w:val="22"/>
        </w:rPr>
      </w:pPr>
      <w:proofErr w:type="gramStart"/>
      <w:r>
        <w:rPr>
          <w:sz w:val="22"/>
          <w:szCs w:val="22"/>
        </w:rPr>
        <w:t>v</w:t>
      </w:r>
      <w:proofErr w:type="gramEnd"/>
      <w:r>
        <w:rPr>
          <w:sz w:val="22"/>
          <w:szCs w:val="22"/>
        </w:rPr>
        <w:t>.</w:t>
      </w:r>
    </w:p>
    <w:p w:rsidR="00254A13" w:rsidRDefault="00254A13">
      <w:pPr>
        <w:autoSpaceDE w:val="0"/>
        <w:autoSpaceDN w:val="0"/>
        <w:adjustRightInd w:val="0"/>
        <w:jc w:val="center"/>
        <w:rPr>
          <w:sz w:val="22"/>
          <w:szCs w:val="22"/>
        </w:rPr>
      </w:pPr>
      <w:r>
        <w:rPr>
          <w:sz w:val="22"/>
          <w:szCs w:val="22"/>
        </w:rPr>
        <w:t>PLANNED PARENTHOOD OF NORTHERN</w:t>
      </w:r>
    </w:p>
    <w:p w:rsidR="00254A13" w:rsidRDefault="00254A13">
      <w:pPr>
        <w:autoSpaceDE w:val="0"/>
        <w:autoSpaceDN w:val="0"/>
        <w:adjustRightInd w:val="0"/>
        <w:jc w:val="center"/>
        <w:rPr>
          <w:sz w:val="22"/>
          <w:szCs w:val="22"/>
        </w:rPr>
      </w:pPr>
      <w:r>
        <w:rPr>
          <w:sz w:val="22"/>
          <w:szCs w:val="22"/>
        </w:rPr>
        <w:t>NEW ENGLAND, CONCORD FEMINIST</w:t>
      </w:r>
    </w:p>
    <w:p w:rsidR="00254A13" w:rsidRDefault="00254A13">
      <w:pPr>
        <w:autoSpaceDE w:val="0"/>
        <w:autoSpaceDN w:val="0"/>
        <w:adjustRightInd w:val="0"/>
        <w:jc w:val="center"/>
        <w:rPr>
          <w:sz w:val="22"/>
          <w:szCs w:val="22"/>
        </w:rPr>
      </w:pPr>
      <w:r>
        <w:rPr>
          <w:sz w:val="22"/>
          <w:szCs w:val="22"/>
        </w:rPr>
        <w:t>HEALTH CENTER, FEMINIST HEALTH CENTER</w:t>
      </w:r>
    </w:p>
    <w:p w:rsidR="00254A13" w:rsidRDefault="00254A13">
      <w:pPr>
        <w:autoSpaceDE w:val="0"/>
        <w:autoSpaceDN w:val="0"/>
        <w:adjustRightInd w:val="0"/>
        <w:jc w:val="center"/>
        <w:rPr>
          <w:sz w:val="22"/>
          <w:szCs w:val="22"/>
        </w:rPr>
      </w:pPr>
      <w:proofErr w:type="gramStart"/>
      <w:r>
        <w:rPr>
          <w:sz w:val="22"/>
          <w:szCs w:val="22"/>
        </w:rPr>
        <w:t>OF PORTSMOUTH, AND WAYNE GOLDNER, M.D.,</w:t>
      </w:r>
      <w:proofErr w:type="gramEnd"/>
    </w:p>
    <w:p w:rsidR="00254A13" w:rsidRDefault="00254A13">
      <w:pPr>
        <w:autoSpaceDE w:val="0"/>
        <w:autoSpaceDN w:val="0"/>
        <w:adjustRightInd w:val="0"/>
        <w:jc w:val="center"/>
        <w:rPr>
          <w:i/>
          <w:iCs/>
          <w:sz w:val="22"/>
          <w:szCs w:val="22"/>
        </w:rPr>
      </w:pPr>
      <w:proofErr w:type="gramStart"/>
      <w:r>
        <w:rPr>
          <w:i/>
          <w:iCs/>
          <w:sz w:val="22"/>
          <w:szCs w:val="22"/>
        </w:rPr>
        <w:t>Respondents.</w:t>
      </w:r>
      <w:proofErr w:type="gramEnd"/>
    </w:p>
    <w:p w:rsidR="00254A13" w:rsidRDefault="00254A13">
      <w:pPr>
        <w:autoSpaceDE w:val="0"/>
        <w:autoSpaceDN w:val="0"/>
        <w:adjustRightInd w:val="0"/>
        <w:jc w:val="center"/>
        <w:rPr>
          <w:b/>
          <w:bCs/>
          <w:sz w:val="22"/>
          <w:szCs w:val="22"/>
        </w:rPr>
      </w:pPr>
    </w:p>
    <w:p w:rsidR="00254A13" w:rsidRDefault="00254A13">
      <w:pPr>
        <w:autoSpaceDE w:val="0"/>
        <w:autoSpaceDN w:val="0"/>
        <w:adjustRightInd w:val="0"/>
        <w:jc w:val="center"/>
        <w:rPr>
          <w:b/>
          <w:bCs/>
          <w:sz w:val="22"/>
          <w:szCs w:val="22"/>
        </w:rPr>
      </w:pPr>
      <w:r>
        <w:rPr>
          <w:b/>
          <w:bCs/>
          <w:sz w:val="22"/>
          <w:szCs w:val="22"/>
        </w:rPr>
        <w:t xml:space="preserve">On Writ </w:t>
      </w:r>
      <w:proofErr w:type="gramStart"/>
      <w:r>
        <w:rPr>
          <w:b/>
          <w:bCs/>
          <w:sz w:val="22"/>
          <w:szCs w:val="22"/>
        </w:rPr>
        <w:t>Of</w:t>
      </w:r>
      <w:proofErr w:type="gramEnd"/>
      <w:r>
        <w:rPr>
          <w:b/>
          <w:bCs/>
          <w:sz w:val="22"/>
          <w:szCs w:val="22"/>
        </w:rPr>
        <w:t xml:space="preserve"> Certiorari To The</w:t>
      </w:r>
    </w:p>
    <w:p w:rsidR="00254A13" w:rsidRDefault="00254A13">
      <w:pPr>
        <w:autoSpaceDE w:val="0"/>
        <w:autoSpaceDN w:val="0"/>
        <w:adjustRightInd w:val="0"/>
        <w:jc w:val="center"/>
        <w:rPr>
          <w:b/>
          <w:bCs/>
          <w:sz w:val="22"/>
          <w:szCs w:val="22"/>
        </w:rPr>
      </w:pPr>
      <w:r>
        <w:rPr>
          <w:b/>
          <w:bCs/>
          <w:sz w:val="22"/>
          <w:szCs w:val="22"/>
        </w:rPr>
        <w:t>United States Court Of Appeals</w:t>
      </w:r>
    </w:p>
    <w:p w:rsidR="00254A13" w:rsidRDefault="00254A13">
      <w:pPr>
        <w:autoSpaceDE w:val="0"/>
        <w:autoSpaceDN w:val="0"/>
        <w:adjustRightInd w:val="0"/>
        <w:jc w:val="center"/>
        <w:rPr>
          <w:b/>
          <w:bCs/>
          <w:sz w:val="22"/>
          <w:szCs w:val="22"/>
        </w:rPr>
      </w:pPr>
      <w:r>
        <w:rPr>
          <w:b/>
          <w:bCs/>
          <w:sz w:val="22"/>
          <w:szCs w:val="22"/>
        </w:rPr>
        <w:t>For The First Circuit</w:t>
      </w:r>
    </w:p>
    <w:p w:rsidR="00254A13" w:rsidRDefault="00254A13">
      <w:pPr>
        <w:autoSpaceDE w:val="0"/>
        <w:autoSpaceDN w:val="0"/>
        <w:adjustRightInd w:val="0"/>
        <w:jc w:val="center"/>
        <w:rPr>
          <w:b/>
          <w:bCs/>
          <w:sz w:val="22"/>
          <w:szCs w:val="22"/>
        </w:rPr>
      </w:pPr>
    </w:p>
    <w:p w:rsidR="00254A13" w:rsidRDefault="00254A13">
      <w:pPr>
        <w:autoSpaceDE w:val="0"/>
        <w:autoSpaceDN w:val="0"/>
        <w:adjustRightInd w:val="0"/>
        <w:jc w:val="center"/>
        <w:rPr>
          <w:b/>
          <w:bCs/>
          <w:sz w:val="22"/>
          <w:szCs w:val="22"/>
        </w:rPr>
      </w:pPr>
      <w:r>
        <w:rPr>
          <w:b/>
          <w:bCs/>
          <w:sz w:val="22"/>
          <w:szCs w:val="22"/>
        </w:rPr>
        <w:t>BRIEF FOR PETITIONER</w:t>
      </w:r>
    </w:p>
    <w:p w:rsidR="00254A13" w:rsidRDefault="00254A13">
      <w:pPr>
        <w:autoSpaceDE w:val="0"/>
        <w:autoSpaceDN w:val="0"/>
        <w:adjustRightInd w:val="0"/>
        <w:jc w:val="center"/>
        <w:rPr>
          <w:sz w:val="22"/>
          <w:szCs w:val="22"/>
        </w:rPr>
      </w:pPr>
    </w:p>
    <w:p w:rsidR="00254A13" w:rsidRDefault="00254A13">
      <w:pPr>
        <w:autoSpaceDE w:val="0"/>
        <w:autoSpaceDN w:val="0"/>
        <w:adjustRightInd w:val="0"/>
        <w:jc w:val="center"/>
        <w:rPr>
          <w:sz w:val="17"/>
          <w:szCs w:val="17"/>
        </w:rPr>
      </w:pPr>
      <w:r>
        <w:rPr>
          <w:sz w:val="22"/>
          <w:szCs w:val="22"/>
        </w:rPr>
        <w:t>K</w:t>
      </w:r>
      <w:r>
        <w:rPr>
          <w:sz w:val="17"/>
          <w:szCs w:val="17"/>
        </w:rPr>
        <w:t xml:space="preserve">ELLY </w:t>
      </w:r>
      <w:r>
        <w:rPr>
          <w:sz w:val="22"/>
          <w:szCs w:val="22"/>
        </w:rPr>
        <w:t>A. A</w:t>
      </w:r>
      <w:r>
        <w:rPr>
          <w:sz w:val="17"/>
          <w:szCs w:val="17"/>
        </w:rPr>
        <w:t>YOTTE</w:t>
      </w:r>
    </w:p>
    <w:p w:rsidR="00254A13" w:rsidRDefault="00254A13">
      <w:pPr>
        <w:autoSpaceDE w:val="0"/>
        <w:autoSpaceDN w:val="0"/>
        <w:adjustRightInd w:val="0"/>
        <w:jc w:val="center"/>
        <w:rPr>
          <w:sz w:val="22"/>
          <w:szCs w:val="22"/>
        </w:rPr>
      </w:pPr>
      <w:r>
        <w:rPr>
          <w:sz w:val="22"/>
          <w:szCs w:val="22"/>
        </w:rPr>
        <w:t>Attorney General</w:t>
      </w:r>
    </w:p>
    <w:p w:rsidR="00254A13" w:rsidRDefault="00254A13">
      <w:pPr>
        <w:autoSpaceDE w:val="0"/>
        <w:autoSpaceDN w:val="0"/>
        <w:adjustRightInd w:val="0"/>
        <w:jc w:val="center"/>
        <w:rPr>
          <w:sz w:val="17"/>
          <w:szCs w:val="17"/>
        </w:rPr>
      </w:pPr>
      <w:r>
        <w:rPr>
          <w:sz w:val="22"/>
          <w:szCs w:val="22"/>
        </w:rPr>
        <w:t>M</w:t>
      </w:r>
      <w:r>
        <w:rPr>
          <w:sz w:val="17"/>
          <w:szCs w:val="17"/>
        </w:rPr>
        <w:t xml:space="preserve">ICHAEL </w:t>
      </w:r>
      <w:r>
        <w:rPr>
          <w:sz w:val="22"/>
          <w:szCs w:val="22"/>
        </w:rPr>
        <w:t>A. D</w:t>
      </w:r>
      <w:r>
        <w:rPr>
          <w:sz w:val="17"/>
          <w:szCs w:val="17"/>
        </w:rPr>
        <w:t>ELANEY</w:t>
      </w:r>
    </w:p>
    <w:p w:rsidR="00254A13" w:rsidRDefault="00254A13">
      <w:pPr>
        <w:autoSpaceDE w:val="0"/>
        <w:autoSpaceDN w:val="0"/>
        <w:adjustRightInd w:val="0"/>
        <w:jc w:val="center"/>
        <w:rPr>
          <w:sz w:val="22"/>
          <w:szCs w:val="22"/>
        </w:rPr>
      </w:pPr>
      <w:r>
        <w:rPr>
          <w:sz w:val="22"/>
          <w:szCs w:val="22"/>
        </w:rPr>
        <w:t>Deputy Attorney General</w:t>
      </w:r>
    </w:p>
    <w:p w:rsidR="00254A13" w:rsidRDefault="00254A13">
      <w:pPr>
        <w:autoSpaceDE w:val="0"/>
        <w:autoSpaceDN w:val="0"/>
        <w:adjustRightInd w:val="0"/>
        <w:jc w:val="center"/>
        <w:rPr>
          <w:sz w:val="22"/>
          <w:szCs w:val="22"/>
        </w:rPr>
      </w:pPr>
      <w:r>
        <w:rPr>
          <w:sz w:val="22"/>
          <w:szCs w:val="22"/>
        </w:rPr>
        <w:t>D</w:t>
      </w:r>
      <w:r>
        <w:rPr>
          <w:sz w:val="17"/>
          <w:szCs w:val="17"/>
        </w:rPr>
        <w:t xml:space="preserve">ANIEL </w:t>
      </w:r>
      <w:r>
        <w:rPr>
          <w:sz w:val="22"/>
          <w:szCs w:val="22"/>
        </w:rPr>
        <w:t>J. M</w:t>
      </w:r>
      <w:r>
        <w:rPr>
          <w:sz w:val="17"/>
          <w:szCs w:val="17"/>
        </w:rPr>
        <w:t>ULLEN</w:t>
      </w:r>
      <w:r>
        <w:rPr>
          <w:sz w:val="22"/>
          <w:szCs w:val="22"/>
        </w:rPr>
        <w:t>*</w:t>
      </w:r>
    </w:p>
    <w:p w:rsidR="00254A13" w:rsidRDefault="00254A13">
      <w:pPr>
        <w:autoSpaceDE w:val="0"/>
        <w:autoSpaceDN w:val="0"/>
        <w:adjustRightInd w:val="0"/>
        <w:jc w:val="center"/>
        <w:rPr>
          <w:sz w:val="22"/>
          <w:szCs w:val="22"/>
        </w:rPr>
      </w:pPr>
      <w:r>
        <w:rPr>
          <w:sz w:val="22"/>
          <w:szCs w:val="22"/>
        </w:rPr>
        <w:t>Associate Attorney General</w:t>
      </w:r>
    </w:p>
    <w:p w:rsidR="00254A13" w:rsidRDefault="00254A13">
      <w:pPr>
        <w:autoSpaceDE w:val="0"/>
        <w:autoSpaceDN w:val="0"/>
        <w:adjustRightInd w:val="0"/>
        <w:jc w:val="center"/>
        <w:rPr>
          <w:sz w:val="17"/>
          <w:szCs w:val="17"/>
        </w:rPr>
      </w:pPr>
      <w:r>
        <w:rPr>
          <w:sz w:val="22"/>
          <w:szCs w:val="22"/>
        </w:rPr>
        <w:t>L</w:t>
      </w:r>
      <w:r>
        <w:rPr>
          <w:sz w:val="17"/>
          <w:szCs w:val="17"/>
        </w:rPr>
        <w:t xml:space="preserve">AURA </w:t>
      </w:r>
      <w:r>
        <w:rPr>
          <w:sz w:val="22"/>
          <w:szCs w:val="22"/>
        </w:rPr>
        <w:t>E.B. L</w:t>
      </w:r>
      <w:r>
        <w:rPr>
          <w:sz w:val="17"/>
          <w:szCs w:val="17"/>
        </w:rPr>
        <w:t>OMBARDI</w:t>
      </w:r>
    </w:p>
    <w:p w:rsidR="00254A13" w:rsidRDefault="00254A13">
      <w:pPr>
        <w:autoSpaceDE w:val="0"/>
        <w:autoSpaceDN w:val="0"/>
        <w:adjustRightInd w:val="0"/>
        <w:jc w:val="center"/>
        <w:rPr>
          <w:sz w:val="22"/>
          <w:szCs w:val="22"/>
        </w:rPr>
      </w:pPr>
      <w:r>
        <w:rPr>
          <w:sz w:val="22"/>
          <w:szCs w:val="22"/>
        </w:rPr>
        <w:t>Assistant Attorney General</w:t>
      </w:r>
    </w:p>
    <w:p w:rsidR="00254A13" w:rsidRDefault="00254A13">
      <w:pPr>
        <w:autoSpaceDE w:val="0"/>
        <w:autoSpaceDN w:val="0"/>
        <w:adjustRightInd w:val="0"/>
        <w:jc w:val="center"/>
        <w:rPr>
          <w:sz w:val="17"/>
          <w:szCs w:val="17"/>
        </w:rPr>
      </w:pPr>
      <w:r>
        <w:rPr>
          <w:sz w:val="22"/>
          <w:szCs w:val="22"/>
        </w:rPr>
        <w:t>N</w:t>
      </w:r>
      <w:r>
        <w:rPr>
          <w:sz w:val="17"/>
          <w:szCs w:val="17"/>
        </w:rPr>
        <w:t xml:space="preserve">EW </w:t>
      </w:r>
      <w:r>
        <w:rPr>
          <w:sz w:val="22"/>
          <w:szCs w:val="22"/>
        </w:rPr>
        <w:t>H</w:t>
      </w:r>
      <w:r>
        <w:rPr>
          <w:sz w:val="17"/>
          <w:szCs w:val="17"/>
        </w:rPr>
        <w:t xml:space="preserve">AMPSHIRE </w:t>
      </w:r>
      <w:r>
        <w:rPr>
          <w:sz w:val="22"/>
          <w:szCs w:val="22"/>
        </w:rPr>
        <w:t>O</w:t>
      </w:r>
      <w:r>
        <w:rPr>
          <w:sz w:val="17"/>
          <w:szCs w:val="17"/>
        </w:rPr>
        <w:t>FFICE OF THE</w:t>
      </w:r>
    </w:p>
    <w:p w:rsidR="00254A13" w:rsidRDefault="00254A13">
      <w:pPr>
        <w:autoSpaceDE w:val="0"/>
        <w:autoSpaceDN w:val="0"/>
        <w:adjustRightInd w:val="0"/>
        <w:jc w:val="center"/>
        <w:rPr>
          <w:sz w:val="17"/>
          <w:szCs w:val="17"/>
        </w:rPr>
      </w:pPr>
      <w:r>
        <w:rPr>
          <w:sz w:val="22"/>
          <w:szCs w:val="22"/>
        </w:rPr>
        <w:t>A</w:t>
      </w:r>
      <w:r>
        <w:rPr>
          <w:sz w:val="17"/>
          <w:szCs w:val="17"/>
        </w:rPr>
        <w:t xml:space="preserve">TTORNEY </w:t>
      </w:r>
      <w:r>
        <w:rPr>
          <w:sz w:val="22"/>
          <w:szCs w:val="22"/>
        </w:rPr>
        <w:t>G</w:t>
      </w:r>
      <w:r>
        <w:rPr>
          <w:sz w:val="17"/>
          <w:szCs w:val="17"/>
        </w:rPr>
        <w:t>ENERAL</w:t>
      </w:r>
    </w:p>
    <w:p w:rsidR="00254A13" w:rsidRDefault="00254A13">
      <w:pPr>
        <w:autoSpaceDE w:val="0"/>
        <w:autoSpaceDN w:val="0"/>
        <w:adjustRightInd w:val="0"/>
        <w:jc w:val="center"/>
        <w:rPr>
          <w:sz w:val="22"/>
          <w:szCs w:val="22"/>
        </w:rPr>
      </w:pPr>
      <w:r>
        <w:rPr>
          <w:sz w:val="22"/>
          <w:szCs w:val="22"/>
        </w:rPr>
        <w:t>33 Capitol Street</w:t>
      </w:r>
    </w:p>
    <w:p w:rsidR="00254A13" w:rsidRDefault="00254A13">
      <w:pPr>
        <w:autoSpaceDE w:val="0"/>
        <w:autoSpaceDN w:val="0"/>
        <w:adjustRightInd w:val="0"/>
        <w:jc w:val="center"/>
        <w:rPr>
          <w:sz w:val="22"/>
          <w:szCs w:val="22"/>
        </w:rPr>
      </w:pPr>
      <w:r>
        <w:rPr>
          <w:sz w:val="22"/>
          <w:szCs w:val="22"/>
        </w:rPr>
        <w:t>Concord, New Hampshire 03301</w:t>
      </w:r>
    </w:p>
    <w:p w:rsidR="00254A13" w:rsidRDefault="00254A13">
      <w:pPr>
        <w:autoSpaceDE w:val="0"/>
        <w:autoSpaceDN w:val="0"/>
        <w:adjustRightInd w:val="0"/>
        <w:jc w:val="center"/>
        <w:rPr>
          <w:sz w:val="22"/>
          <w:szCs w:val="22"/>
        </w:rPr>
      </w:pPr>
      <w:r>
        <w:rPr>
          <w:sz w:val="22"/>
          <w:szCs w:val="22"/>
        </w:rPr>
        <w:t>(603) 271-3658</w:t>
      </w:r>
    </w:p>
    <w:p w:rsidR="00254A13" w:rsidRDefault="00254A13">
      <w:pPr>
        <w:autoSpaceDE w:val="0"/>
        <w:autoSpaceDN w:val="0"/>
        <w:adjustRightInd w:val="0"/>
        <w:jc w:val="center"/>
        <w:rPr>
          <w:sz w:val="22"/>
          <w:szCs w:val="22"/>
        </w:rPr>
      </w:pPr>
      <w:r>
        <w:rPr>
          <w:sz w:val="22"/>
          <w:szCs w:val="22"/>
        </w:rPr>
        <w:t>(603) 271-2110 (facsimile)</w:t>
      </w:r>
    </w:p>
    <w:p w:rsidR="00254A13" w:rsidRDefault="00254A13">
      <w:pPr>
        <w:autoSpaceDE w:val="0"/>
        <w:autoSpaceDN w:val="0"/>
        <w:adjustRightInd w:val="0"/>
        <w:jc w:val="center"/>
        <w:rPr>
          <w:i/>
          <w:iCs/>
          <w:sz w:val="22"/>
          <w:szCs w:val="22"/>
        </w:rPr>
      </w:pPr>
      <w:r>
        <w:rPr>
          <w:i/>
          <w:iCs/>
          <w:sz w:val="22"/>
          <w:szCs w:val="22"/>
        </w:rPr>
        <w:t>Counsel for Petitioner</w:t>
      </w:r>
    </w:p>
    <w:p w:rsidR="00254A13" w:rsidRDefault="00254A13">
      <w:pPr>
        <w:autoSpaceDE w:val="0"/>
        <w:autoSpaceDN w:val="0"/>
        <w:adjustRightInd w:val="0"/>
        <w:jc w:val="center"/>
        <w:rPr>
          <w:i/>
          <w:iCs/>
          <w:sz w:val="22"/>
          <w:szCs w:val="22"/>
        </w:rPr>
      </w:pPr>
      <w:r>
        <w:rPr>
          <w:sz w:val="22"/>
          <w:szCs w:val="22"/>
        </w:rPr>
        <w:t>*</w:t>
      </w:r>
      <w:r>
        <w:rPr>
          <w:i/>
          <w:iCs/>
          <w:sz w:val="22"/>
          <w:szCs w:val="22"/>
        </w:rPr>
        <w:t>Counsel of Record</w:t>
      </w:r>
    </w:p>
    <w:p w:rsidR="00254A13" w:rsidRDefault="00254A13">
      <w:pPr>
        <w:autoSpaceDE w:val="0"/>
        <w:autoSpaceDN w:val="0"/>
        <w:adjustRightInd w:val="0"/>
        <w:jc w:val="center"/>
        <w:rPr>
          <w:sz w:val="22"/>
          <w:szCs w:val="22"/>
        </w:rPr>
      </w:pPr>
      <w:r>
        <w:rPr>
          <w:sz w:val="22"/>
          <w:szCs w:val="22"/>
        </w:rPr>
        <w:t>================================================================</w:t>
      </w:r>
    </w:p>
    <w:p w:rsidR="00254A13" w:rsidRDefault="00254A13">
      <w:pPr>
        <w:autoSpaceDE w:val="0"/>
        <w:autoSpaceDN w:val="0"/>
        <w:adjustRightInd w:val="0"/>
        <w:jc w:val="center"/>
        <w:rPr>
          <w:sz w:val="12"/>
          <w:szCs w:val="12"/>
        </w:rPr>
      </w:pPr>
      <w:r>
        <w:rPr>
          <w:sz w:val="12"/>
          <w:szCs w:val="12"/>
        </w:rPr>
        <w:t>COCKLE LAW BRIEF PRINTING CO. (800) 225-6964</w:t>
      </w:r>
    </w:p>
    <w:p w:rsidR="00254A13" w:rsidRDefault="00254A13">
      <w:pPr>
        <w:autoSpaceDE w:val="0"/>
        <w:autoSpaceDN w:val="0"/>
        <w:adjustRightInd w:val="0"/>
        <w:jc w:val="center"/>
        <w:rPr>
          <w:sz w:val="12"/>
          <w:szCs w:val="12"/>
        </w:rPr>
      </w:pPr>
      <w:r>
        <w:rPr>
          <w:sz w:val="12"/>
          <w:szCs w:val="12"/>
        </w:rPr>
        <w:t xml:space="preserve">OR CALL </w:t>
      </w:r>
      <w:proofErr w:type="gramStart"/>
      <w:r>
        <w:rPr>
          <w:sz w:val="12"/>
          <w:szCs w:val="12"/>
        </w:rPr>
        <w:t>COLLECT</w:t>
      </w:r>
      <w:proofErr w:type="gramEnd"/>
      <w:r>
        <w:rPr>
          <w:sz w:val="12"/>
          <w:szCs w:val="12"/>
        </w:rPr>
        <w:t xml:space="preserve"> (402) 342-2831</w:t>
      </w:r>
    </w:p>
    <w:p w:rsidR="00254A13" w:rsidRDefault="00254A13" w:rsidP="00DE0FC5">
      <w:pPr>
        <w:autoSpaceDE w:val="0"/>
        <w:autoSpaceDN w:val="0"/>
        <w:adjustRightInd w:val="0"/>
        <w:jc w:val="center"/>
        <w:rPr>
          <w:sz w:val="22"/>
          <w:szCs w:val="22"/>
        </w:rPr>
      </w:pPr>
      <w:r>
        <w:rPr>
          <w:sz w:val="22"/>
          <w:szCs w:val="22"/>
        </w:rPr>
        <w:br w:type="page"/>
      </w:r>
      <w:r>
        <w:rPr>
          <w:sz w:val="22"/>
          <w:szCs w:val="22"/>
        </w:rPr>
        <w:lastRenderedPageBreak/>
        <w:t>TABLE OF CONTENTS</w:t>
      </w:r>
    </w:p>
    <w:p w:rsidR="00254A13" w:rsidRDefault="00254A13">
      <w:pPr>
        <w:autoSpaceDE w:val="0"/>
        <w:autoSpaceDN w:val="0"/>
        <w:adjustRightInd w:val="0"/>
        <w:rPr>
          <w:sz w:val="22"/>
          <w:szCs w:val="22"/>
        </w:rPr>
      </w:pPr>
    </w:p>
    <w:p w:rsidR="00254A13" w:rsidRDefault="00254A13">
      <w:pPr>
        <w:autoSpaceDE w:val="0"/>
        <w:autoSpaceDN w:val="0"/>
        <w:adjustRightInd w:val="0"/>
        <w:rPr>
          <w:sz w:val="22"/>
          <w:szCs w:val="22"/>
        </w:rPr>
      </w:pPr>
      <w:r>
        <w:rPr>
          <w:sz w:val="22"/>
          <w:szCs w:val="22"/>
        </w:rPr>
        <w:t>[Reserved for the Table of Contents]</w:t>
      </w:r>
    </w:p>
    <w:p w:rsidR="00254A13" w:rsidRDefault="00254A13">
      <w:pPr>
        <w:autoSpaceDE w:val="0"/>
        <w:autoSpaceDN w:val="0"/>
        <w:adjustRightInd w:val="0"/>
        <w:rPr>
          <w:sz w:val="22"/>
          <w:szCs w:val="22"/>
        </w:rPr>
      </w:pPr>
    </w:p>
    <w:p w:rsidR="00254A13" w:rsidRDefault="00254A13">
      <w:pPr>
        <w:autoSpaceDE w:val="0"/>
        <w:autoSpaceDN w:val="0"/>
        <w:adjustRightInd w:val="0"/>
        <w:jc w:val="center"/>
        <w:rPr>
          <w:sz w:val="22"/>
          <w:szCs w:val="22"/>
        </w:rPr>
      </w:pPr>
      <w:r>
        <w:rPr>
          <w:sz w:val="22"/>
          <w:szCs w:val="22"/>
        </w:rPr>
        <w:br w:type="page"/>
      </w:r>
      <w:r>
        <w:rPr>
          <w:sz w:val="22"/>
          <w:szCs w:val="22"/>
        </w:rPr>
        <w:lastRenderedPageBreak/>
        <w:t>TABLE OF AUTHORITIES</w:t>
      </w:r>
    </w:p>
    <w:p w:rsidR="00254A13" w:rsidRDefault="00254A13">
      <w:pPr>
        <w:autoSpaceDE w:val="0"/>
        <w:autoSpaceDN w:val="0"/>
        <w:adjustRightInd w:val="0"/>
        <w:rPr>
          <w:sz w:val="22"/>
          <w:szCs w:val="22"/>
        </w:rPr>
      </w:pPr>
    </w:p>
    <w:p w:rsidR="00254A13" w:rsidRDefault="00254A13">
      <w:pPr>
        <w:autoSpaceDE w:val="0"/>
        <w:autoSpaceDN w:val="0"/>
        <w:adjustRightInd w:val="0"/>
        <w:rPr>
          <w:sz w:val="22"/>
          <w:szCs w:val="22"/>
        </w:rPr>
      </w:pPr>
    </w:p>
    <w:p w:rsidR="00254A13" w:rsidRDefault="00254A13">
      <w:pPr>
        <w:autoSpaceDE w:val="0"/>
        <w:autoSpaceDN w:val="0"/>
        <w:adjustRightInd w:val="0"/>
        <w:rPr>
          <w:sz w:val="22"/>
          <w:szCs w:val="22"/>
        </w:rPr>
      </w:pPr>
      <w:r>
        <w:rPr>
          <w:sz w:val="22"/>
          <w:szCs w:val="22"/>
        </w:rPr>
        <w:t>[Reserved for the Table of Authorities]</w:t>
      </w:r>
    </w:p>
    <w:p w:rsidR="00254A13" w:rsidRDefault="00254A13">
      <w:pPr>
        <w:autoSpaceDE w:val="0"/>
        <w:autoSpaceDN w:val="0"/>
        <w:adjustRightInd w:val="0"/>
        <w:rPr>
          <w:sz w:val="22"/>
          <w:szCs w:val="22"/>
        </w:rPr>
      </w:pPr>
    </w:p>
    <w:p w:rsidR="00254A13" w:rsidRDefault="00254A13">
      <w:pPr>
        <w:autoSpaceDE w:val="0"/>
        <w:autoSpaceDN w:val="0"/>
        <w:adjustRightInd w:val="0"/>
        <w:rPr>
          <w:b/>
          <w:bCs/>
          <w:sz w:val="22"/>
          <w:szCs w:val="22"/>
        </w:rPr>
      </w:pPr>
      <w:r>
        <w:rPr>
          <w:sz w:val="22"/>
          <w:szCs w:val="22"/>
        </w:rPr>
        <w:br w:type="page"/>
      </w:r>
      <w:r>
        <w:rPr>
          <w:b/>
          <w:bCs/>
          <w:sz w:val="22"/>
          <w:szCs w:val="22"/>
        </w:rPr>
        <w:lastRenderedPageBreak/>
        <w:t>CITATIONS TO OPINIONS BELOW</w:t>
      </w:r>
    </w:p>
    <w:p w:rsidR="00254A13" w:rsidRDefault="00254A13">
      <w:pPr>
        <w:autoSpaceDE w:val="0"/>
        <w:autoSpaceDN w:val="0"/>
        <w:adjustRightInd w:val="0"/>
        <w:rPr>
          <w:sz w:val="22"/>
          <w:szCs w:val="22"/>
        </w:rPr>
      </w:pPr>
      <w:r>
        <w:rPr>
          <w:sz w:val="22"/>
          <w:szCs w:val="22"/>
        </w:rPr>
        <w:t>The opinion of the United States Court of Appeals for the First Circuit is reported at 390 F.3d 53 (1st Cir. 2004). It is set forth in the Appendix to the Petition for Writ of Certiorari at 1. The order of the United States District Court for the District of New Hampshire holding New Hampshire’s Parental Notification Prior to Abortion Act unconstitutional and enjoining its enforcement is reported at 296 F. Supp.2d 59 (2003), and is set forth in the Appendix to the Petition for Writ of Certiorari at 24.</w:t>
      </w:r>
    </w:p>
    <w:p w:rsidR="00254A13" w:rsidRDefault="00254A13">
      <w:pPr>
        <w:autoSpaceDE w:val="0"/>
        <w:autoSpaceDN w:val="0"/>
        <w:adjustRightInd w:val="0"/>
        <w:rPr>
          <w:b/>
          <w:bCs/>
          <w:sz w:val="22"/>
          <w:szCs w:val="22"/>
        </w:rPr>
      </w:pPr>
    </w:p>
    <w:p w:rsidR="00254A13" w:rsidRDefault="00254A13">
      <w:pPr>
        <w:autoSpaceDE w:val="0"/>
        <w:autoSpaceDN w:val="0"/>
        <w:adjustRightInd w:val="0"/>
        <w:rPr>
          <w:b/>
          <w:bCs/>
          <w:sz w:val="22"/>
          <w:szCs w:val="22"/>
        </w:rPr>
      </w:pPr>
      <w:r>
        <w:rPr>
          <w:b/>
          <w:bCs/>
          <w:sz w:val="22"/>
          <w:szCs w:val="22"/>
        </w:rPr>
        <w:t>STATEMENT OF JURISDICTION</w:t>
      </w:r>
    </w:p>
    <w:p w:rsidR="00254A13" w:rsidRDefault="00254A13">
      <w:pPr>
        <w:autoSpaceDE w:val="0"/>
        <w:autoSpaceDN w:val="0"/>
        <w:adjustRightInd w:val="0"/>
        <w:rPr>
          <w:sz w:val="22"/>
          <w:szCs w:val="22"/>
        </w:rPr>
      </w:pPr>
      <w:r>
        <w:rPr>
          <w:sz w:val="22"/>
          <w:szCs w:val="22"/>
        </w:rPr>
        <w:t>The judgment of the United States Court of Appeals for the First Circuit was entered on November 24, 2004. The jurisdiction of the court is invoked pursuant to 28 U.S.C. § 1254 (1) (2002) to review a civil judgment. This Court granted the Petition for a Writ of Certiorari on May 23, 2005.</w:t>
      </w:r>
      <w:r w:rsidR="007B089E" w:rsidRPr="007B089E">
        <w:rPr>
          <w:sz w:val="22"/>
          <w:szCs w:val="22"/>
        </w:rPr>
        <w:t xml:space="preserve"> </w:t>
      </w:r>
      <w:r w:rsidR="007B089E">
        <w:rPr>
          <w:sz w:val="22"/>
          <w:szCs w:val="22"/>
        </w:rPr>
        <w:t xml:space="preserve">Whether the First Circuit Court of Appeals erred in holding that a facial challenge to New Hampshire’s parental notification statute should not be governed by the “no set of circumstances” standard articulated in </w:t>
      </w:r>
      <w:r w:rsidR="007B089E">
        <w:rPr>
          <w:i/>
          <w:iCs/>
          <w:sz w:val="22"/>
          <w:szCs w:val="22"/>
        </w:rPr>
        <w:t>United States v. Salerno</w:t>
      </w:r>
      <w:r w:rsidR="007B089E">
        <w:rPr>
          <w:sz w:val="22"/>
          <w:szCs w:val="22"/>
        </w:rPr>
        <w:t>, 481 U.S. 739 (1987).</w:t>
      </w:r>
    </w:p>
    <w:p w:rsidR="00254A13" w:rsidRDefault="00254A13">
      <w:pPr>
        <w:autoSpaceDE w:val="0"/>
        <w:autoSpaceDN w:val="0"/>
        <w:adjustRightInd w:val="0"/>
        <w:rPr>
          <w:b/>
          <w:bCs/>
          <w:sz w:val="22"/>
          <w:szCs w:val="22"/>
        </w:rPr>
      </w:pPr>
    </w:p>
    <w:p w:rsidR="00254A13" w:rsidRDefault="00254A13">
      <w:pPr>
        <w:autoSpaceDE w:val="0"/>
        <w:autoSpaceDN w:val="0"/>
        <w:adjustRightInd w:val="0"/>
        <w:rPr>
          <w:b/>
          <w:bCs/>
          <w:sz w:val="22"/>
          <w:szCs w:val="22"/>
        </w:rPr>
      </w:pPr>
      <w:r>
        <w:rPr>
          <w:b/>
          <w:bCs/>
          <w:sz w:val="22"/>
          <w:szCs w:val="22"/>
        </w:rPr>
        <w:t>STATEMENT OF THE CASE</w:t>
      </w:r>
    </w:p>
    <w:p w:rsidR="00254A13" w:rsidRDefault="00254A13">
      <w:pPr>
        <w:autoSpaceDE w:val="0"/>
        <w:autoSpaceDN w:val="0"/>
        <w:adjustRightInd w:val="0"/>
        <w:rPr>
          <w:sz w:val="22"/>
          <w:szCs w:val="22"/>
        </w:rPr>
      </w:pPr>
      <w:r>
        <w:rPr>
          <w:sz w:val="22"/>
          <w:szCs w:val="22"/>
        </w:rPr>
        <w:t xml:space="preserve">1. In June, 2003, the New Hampshire Legislature passed the Parental Notification Prior to Abortion Act (Act) with an effective date of December 31, 2003. </w:t>
      </w:r>
      <w:proofErr w:type="gramStart"/>
      <w:r>
        <w:rPr>
          <w:sz w:val="22"/>
          <w:szCs w:val="22"/>
        </w:rPr>
        <w:t>N.H. R</w:t>
      </w:r>
      <w:r>
        <w:rPr>
          <w:sz w:val="17"/>
          <w:szCs w:val="17"/>
        </w:rPr>
        <w:t>EV</w:t>
      </w:r>
      <w:r>
        <w:rPr>
          <w:sz w:val="22"/>
          <w:szCs w:val="22"/>
        </w:rPr>
        <w:t>. S</w:t>
      </w:r>
      <w:r>
        <w:rPr>
          <w:sz w:val="17"/>
          <w:szCs w:val="17"/>
        </w:rPr>
        <w:t>TAT</w:t>
      </w:r>
      <w:r>
        <w:rPr>
          <w:sz w:val="22"/>
          <w:szCs w:val="22"/>
        </w:rPr>
        <w:t>. A</w:t>
      </w:r>
      <w:r>
        <w:rPr>
          <w:sz w:val="17"/>
          <w:szCs w:val="17"/>
        </w:rPr>
        <w:t>NN</w:t>
      </w:r>
      <w:r>
        <w:rPr>
          <w:sz w:val="22"/>
          <w:szCs w:val="22"/>
        </w:rPr>
        <w:t>. § 132:24-28.</w:t>
      </w:r>
      <w:proofErr w:type="gramEnd"/>
      <w:r>
        <w:rPr>
          <w:sz w:val="22"/>
          <w:szCs w:val="22"/>
        </w:rPr>
        <w:t xml:space="preserve"> </w:t>
      </w:r>
    </w:p>
    <w:p w:rsidR="00254A13" w:rsidRDefault="00254A13">
      <w:pPr>
        <w:autoSpaceDE w:val="0"/>
        <w:autoSpaceDN w:val="0"/>
        <w:adjustRightInd w:val="0"/>
        <w:rPr>
          <w:sz w:val="22"/>
          <w:szCs w:val="22"/>
        </w:rPr>
      </w:pPr>
    </w:p>
    <w:p w:rsidR="00254A13" w:rsidRDefault="00254A13">
      <w:pPr>
        <w:autoSpaceDE w:val="0"/>
        <w:autoSpaceDN w:val="0"/>
        <w:adjustRightInd w:val="0"/>
        <w:rPr>
          <w:sz w:val="22"/>
          <w:szCs w:val="22"/>
        </w:rPr>
      </w:pPr>
      <w:r>
        <w:rPr>
          <w:sz w:val="22"/>
          <w:szCs w:val="22"/>
        </w:rPr>
        <w:t xml:space="preserve">The Act provides that no abortion shall be performed upon an </w:t>
      </w:r>
      <w:proofErr w:type="spellStart"/>
      <w:r>
        <w:rPr>
          <w:sz w:val="22"/>
          <w:szCs w:val="22"/>
        </w:rPr>
        <w:t>unemancipated</w:t>
      </w:r>
      <w:proofErr w:type="spellEnd"/>
      <w:r>
        <w:rPr>
          <w:sz w:val="22"/>
          <w:szCs w:val="22"/>
        </w:rPr>
        <w:t xml:space="preserve"> minor or upon a female for whom a guardian or conservator has been appointed until at least 48 hours after written notice has been delivered to one parent of the minor at the usual place of abode of the parent. The physician or an agent must deliver the notice to the parent personally or by certified mail with return receipt requested and with restricted delivery to the addressee. N.H. R</w:t>
      </w:r>
      <w:r>
        <w:rPr>
          <w:sz w:val="17"/>
          <w:szCs w:val="17"/>
        </w:rPr>
        <w:t>EV</w:t>
      </w:r>
      <w:r>
        <w:rPr>
          <w:sz w:val="22"/>
          <w:szCs w:val="22"/>
        </w:rPr>
        <w:t>. S</w:t>
      </w:r>
      <w:r>
        <w:rPr>
          <w:sz w:val="17"/>
          <w:szCs w:val="17"/>
        </w:rPr>
        <w:t>TAT</w:t>
      </w:r>
      <w:r>
        <w:rPr>
          <w:sz w:val="22"/>
          <w:szCs w:val="22"/>
        </w:rPr>
        <w:t>. A</w:t>
      </w:r>
      <w:r>
        <w:rPr>
          <w:sz w:val="17"/>
          <w:szCs w:val="17"/>
        </w:rPr>
        <w:t>NN</w:t>
      </w:r>
      <w:r>
        <w:rPr>
          <w:sz w:val="22"/>
          <w:szCs w:val="22"/>
        </w:rPr>
        <w:t xml:space="preserve">. § 132:25. </w:t>
      </w:r>
    </w:p>
    <w:p w:rsidR="00254A13" w:rsidRDefault="00254A13">
      <w:pPr>
        <w:autoSpaceDE w:val="0"/>
        <w:autoSpaceDN w:val="0"/>
        <w:adjustRightInd w:val="0"/>
        <w:rPr>
          <w:sz w:val="22"/>
          <w:szCs w:val="22"/>
        </w:rPr>
      </w:pPr>
    </w:p>
    <w:p w:rsidR="00254A13" w:rsidRDefault="00254A13">
      <w:pPr>
        <w:autoSpaceDE w:val="0"/>
        <w:autoSpaceDN w:val="0"/>
        <w:adjustRightInd w:val="0"/>
        <w:rPr>
          <w:sz w:val="22"/>
          <w:szCs w:val="22"/>
        </w:rPr>
      </w:pPr>
      <w:r>
        <w:rPr>
          <w:sz w:val="22"/>
          <w:szCs w:val="22"/>
        </w:rPr>
        <w:t>The parental notification requirement has three exceptions: first, no notice is required if the attending abortion provider certifies in the pregnant minor’s medical record that the abortion is necessary to prevent the minor’s death and there is insufficient time to provide the required notice, N.H. R</w:t>
      </w:r>
      <w:r>
        <w:rPr>
          <w:sz w:val="17"/>
          <w:szCs w:val="17"/>
        </w:rPr>
        <w:t>EV</w:t>
      </w:r>
      <w:r>
        <w:rPr>
          <w:sz w:val="22"/>
          <w:szCs w:val="22"/>
        </w:rPr>
        <w:t>. S</w:t>
      </w:r>
      <w:r>
        <w:rPr>
          <w:sz w:val="17"/>
          <w:szCs w:val="17"/>
        </w:rPr>
        <w:t>TAT</w:t>
      </w:r>
      <w:r>
        <w:rPr>
          <w:sz w:val="22"/>
          <w:szCs w:val="22"/>
        </w:rPr>
        <w:t>. A</w:t>
      </w:r>
      <w:r>
        <w:rPr>
          <w:sz w:val="17"/>
          <w:szCs w:val="17"/>
        </w:rPr>
        <w:t>NN</w:t>
      </w:r>
      <w:r>
        <w:rPr>
          <w:sz w:val="22"/>
          <w:szCs w:val="22"/>
        </w:rPr>
        <w:t>. § 132:26, I(a); second, the persons who are entitled to notice certify in writing that they have been notified; and third, if the minor chooses not to notify her parent or guardian, a judicial bypass procedure is available where a judge may authorize an abortion provider to perform an abortion absent parental notification if the judge concludes that the pregnant minor is mature and capable of giving informed consent, or the pregnant minor’s best interests would be served by waiving the notification requirement. N.H. R</w:t>
      </w:r>
      <w:r>
        <w:rPr>
          <w:sz w:val="17"/>
          <w:szCs w:val="17"/>
        </w:rPr>
        <w:t>EV</w:t>
      </w:r>
      <w:r>
        <w:rPr>
          <w:sz w:val="22"/>
          <w:szCs w:val="22"/>
        </w:rPr>
        <w:t>. S</w:t>
      </w:r>
      <w:r>
        <w:rPr>
          <w:sz w:val="17"/>
          <w:szCs w:val="17"/>
        </w:rPr>
        <w:t>TAT</w:t>
      </w:r>
      <w:r>
        <w:rPr>
          <w:sz w:val="22"/>
          <w:szCs w:val="22"/>
        </w:rPr>
        <w:t>. A</w:t>
      </w:r>
      <w:r>
        <w:rPr>
          <w:sz w:val="17"/>
          <w:szCs w:val="17"/>
        </w:rPr>
        <w:t>NN</w:t>
      </w:r>
      <w:r>
        <w:rPr>
          <w:sz w:val="22"/>
          <w:szCs w:val="22"/>
        </w:rPr>
        <w:t>. § 132:26, II</w:t>
      </w:r>
      <w:proofErr w:type="gramStart"/>
      <w:r>
        <w:rPr>
          <w:sz w:val="22"/>
          <w:szCs w:val="22"/>
        </w:rPr>
        <w:t xml:space="preserve">. </w:t>
      </w:r>
      <w:proofErr w:type="gramEnd"/>
      <w:r>
        <w:rPr>
          <w:sz w:val="22"/>
          <w:szCs w:val="22"/>
        </w:rPr>
        <w:t xml:space="preserve">If the judicial bypass procedure is used, the pregnant minor may participate in the court proceedings on her own behalf and the court may appoint a guardian </w:t>
      </w:r>
      <w:r>
        <w:rPr>
          <w:i/>
          <w:iCs/>
          <w:sz w:val="22"/>
          <w:szCs w:val="22"/>
        </w:rPr>
        <w:t xml:space="preserve">ad litem </w:t>
      </w:r>
      <w:r>
        <w:rPr>
          <w:sz w:val="22"/>
          <w:szCs w:val="22"/>
        </w:rPr>
        <w:t xml:space="preserve">for her. The court must advise her that she has the right to court-appointed counsel and must provide her an attorney upon her request. Proceedings in court shall be confidential and shall be given such precedence over other pending matters so that the court may reach a decision promptly and without delay so as to serve the best interest of the minor. An expedited confidential appeal is available to any pregnant minor for whom the court denies an order authorizing an abortion without notification. Access to the courts is afforded twenty-four hours a day, seven days a week. </w:t>
      </w:r>
      <w:proofErr w:type="gramStart"/>
      <w:r>
        <w:rPr>
          <w:sz w:val="22"/>
          <w:szCs w:val="22"/>
        </w:rPr>
        <w:t>N.H. R</w:t>
      </w:r>
      <w:r>
        <w:rPr>
          <w:sz w:val="17"/>
          <w:szCs w:val="17"/>
        </w:rPr>
        <w:t>EV</w:t>
      </w:r>
      <w:r>
        <w:rPr>
          <w:sz w:val="22"/>
          <w:szCs w:val="22"/>
        </w:rPr>
        <w:t>. S</w:t>
      </w:r>
      <w:r>
        <w:rPr>
          <w:sz w:val="17"/>
          <w:szCs w:val="17"/>
        </w:rPr>
        <w:t>TAT</w:t>
      </w:r>
      <w:r>
        <w:rPr>
          <w:sz w:val="22"/>
          <w:szCs w:val="22"/>
        </w:rPr>
        <w:t>. A</w:t>
      </w:r>
      <w:r>
        <w:rPr>
          <w:sz w:val="17"/>
          <w:szCs w:val="17"/>
        </w:rPr>
        <w:t>NN</w:t>
      </w:r>
      <w:r>
        <w:rPr>
          <w:sz w:val="22"/>
          <w:szCs w:val="22"/>
        </w:rPr>
        <w:t>. § 132:26, I, II.</w:t>
      </w:r>
      <w:proofErr w:type="gramEnd"/>
      <w:r>
        <w:rPr>
          <w:sz w:val="22"/>
          <w:szCs w:val="22"/>
        </w:rPr>
        <w:t xml:space="preserve"> </w:t>
      </w:r>
    </w:p>
    <w:p w:rsidR="00254A13" w:rsidRDefault="00254A13">
      <w:pPr>
        <w:autoSpaceDE w:val="0"/>
        <w:autoSpaceDN w:val="0"/>
        <w:adjustRightInd w:val="0"/>
        <w:rPr>
          <w:sz w:val="22"/>
          <w:szCs w:val="22"/>
        </w:rPr>
      </w:pPr>
    </w:p>
    <w:p w:rsidR="00254A13" w:rsidRDefault="00254A13">
      <w:pPr>
        <w:autoSpaceDE w:val="0"/>
        <w:autoSpaceDN w:val="0"/>
        <w:adjustRightInd w:val="0"/>
        <w:rPr>
          <w:sz w:val="22"/>
          <w:szCs w:val="22"/>
        </w:rPr>
      </w:pPr>
      <w:r>
        <w:rPr>
          <w:sz w:val="22"/>
          <w:szCs w:val="22"/>
        </w:rPr>
        <w:t xml:space="preserve">Performance of an abortion in violation of the statute is a misdemeanor and is grounds for a civil action by a person wrongfully denied notification. A person is not liable “if the person establishes by written evidence that the person relied upon evidence sufficient to convince a careful and prudent person that the representations of the pregnant minor regarding information necessary to </w:t>
      </w:r>
      <w:r>
        <w:rPr>
          <w:sz w:val="22"/>
          <w:szCs w:val="22"/>
        </w:rPr>
        <w:lastRenderedPageBreak/>
        <w:t>comply with this section are bona fide and true or if the person has attempted with reasonable diligence to deliver notice, but has been unable to do so.” N.H. R</w:t>
      </w:r>
      <w:r>
        <w:rPr>
          <w:sz w:val="17"/>
          <w:szCs w:val="17"/>
        </w:rPr>
        <w:t>EV</w:t>
      </w:r>
      <w:r>
        <w:rPr>
          <w:sz w:val="22"/>
          <w:szCs w:val="22"/>
        </w:rPr>
        <w:t>. S</w:t>
      </w:r>
      <w:r>
        <w:rPr>
          <w:sz w:val="17"/>
          <w:szCs w:val="17"/>
        </w:rPr>
        <w:t>TAT</w:t>
      </w:r>
      <w:r>
        <w:rPr>
          <w:sz w:val="22"/>
          <w:szCs w:val="22"/>
        </w:rPr>
        <w:t>. A</w:t>
      </w:r>
      <w:r>
        <w:rPr>
          <w:sz w:val="17"/>
          <w:szCs w:val="17"/>
        </w:rPr>
        <w:t>NN</w:t>
      </w:r>
      <w:r>
        <w:rPr>
          <w:sz w:val="22"/>
          <w:szCs w:val="22"/>
        </w:rPr>
        <w:t xml:space="preserve">. § 132:27. </w:t>
      </w:r>
    </w:p>
    <w:p w:rsidR="00254A13" w:rsidRDefault="00254A13">
      <w:pPr>
        <w:autoSpaceDE w:val="0"/>
        <w:autoSpaceDN w:val="0"/>
        <w:adjustRightInd w:val="0"/>
        <w:rPr>
          <w:sz w:val="22"/>
          <w:szCs w:val="22"/>
        </w:rPr>
      </w:pPr>
    </w:p>
    <w:p w:rsidR="00254A13" w:rsidRDefault="00254A13">
      <w:pPr>
        <w:autoSpaceDE w:val="0"/>
        <w:autoSpaceDN w:val="0"/>
        <w:adjustRightInd w:val="0"/>
        <w:rPr>
          <w:sz w:val="22"/>
          <w:szCs w:val="22"/>
        </w:rPr>
      </w:pPr>
      <w:r>
        <w:rPr>
          <w:sz w:val="22"/>
          <w:szCs w:val="22"/>
        </w:rPr>
        <w:t>The Act also contains a severability provision, which provides that if any provision or application thereof to any person is held invalid, such invalidity will not affect the provisions or applications of the Act which can be given effect without the invoked provisions or applications. N.H. R</w:t>
      </w:r>
      <w:r>
        <w:rPr>
          <w:sz w:val="17"/>
          <w:szCs w:val="17"/>
        </w:rPr>
        <w:t>EV</w:t>
      </w:r>
      <w:r>
        <w:rPr>
          <w:sz w:val="22"/>
          <w:szCs w:val="22"/>
        </w:rPr>
        <w:t>. S</w:t>
      </w:r>
      <w:r>
        <w:rPr>
          <w:sz w:val="17"/>
          <w:szCs w:val="17"/>
        </w:rPr>
        <w:t>TAT</w:t>
      </w:r>
      <w:r>
        <w:rPr>
          <w:sz w:val="22"/>
          <w:szCs w:val="22"/>
        </w:rPr>
        <w:t>. A</w:t>
      </w:r>
      <w:r>
        <w:rPr>
          <w:sz w:val="17"/>
          <w:szCs w:val="17"/>
        </w:rPr>
        <w:t>NN</w:t>
      </w:r>
      <w:r>
        <w:rPr>
          <w:sz w:val="22"/>
          <w:szCs w:val="22"/>
        </w:rPr>
        <w:t xml:space="preserve">. § 132:28 </w:t>
      </w:r>
    </w:p>
    <w:p w:rsidR="00254A13" w:rsidRDefault="00254A13">
      <w:pPr>
        <w:autoSpaceDE w:val="0"/>
        <w:autoSpaceDN w:val="0"/>
        <w:adjustRightInd w:val="0"/>
        <w:rPr>
          <w:sz w:val="22"/>
          <w:szCs w:val="22"/>
        </w:rPr>
      </w:pPr>
    </w:p>
    <w:p w:rsidR="00254A13" w:rsidRDefault="00254A13">
      <w:pPr>
        <w:autoSpaceDE w:val="0"/>
        <w:autoSpaceDN w:val="0"/>
        <w:adjustRightInd w:val="0"/>
        <w:rPr>
          <w:sz w:val="22"/>
          <w:szCs w:val="22"/>
        </w:rPr>
      </w:pPr>
      <w:r>
        <w:rPr>
          <w:sz w:val="22"/>
          <w:szCs w:val="22"/>
        </w:rPr>
        <w:t xml:space="preserve">On November 17, 2003, respondents, Planned Parenthood of Northern New England, Concord Feminist Health Center, Feminist Health Center of Portsmouth and Wayne </w:t>
      </w:r>
      <w:proofErr w:type="spellStart"/>
      <w:r>
        <w:rPr>
          <w:sz w:val="22"/>
          <w:szCs w:val="22"/>
        </w:rPr>
        <w:t>Goldner</w:t>
      </w:r>
      <w:proofErr w:type="spellEnd"/>
      <w:r>
        <w:rPr>
          <w:sz w:val="22"/>
          <w:szCs w:val="22"/>
        </w:rPr>
        <w:t xml:space="preserve">, M.D. filed a complaint pursuant to 42 U.S.C. § 1983 seeking a declaratory judgment that the Act is unconstitutional and a preliminary injunction to prevent enforcement once it became effective. </w:t>
      </w:r>
      <w:proofErr w:type="gramStart"/>
      <w:r>
        <w:rPr>
          <w:sz w:val="22"/>
          <w:szCs w:val="22"/>
        </w:rPr>
        <w:t>Joint Appendix (hereinafter “J.A.”) at 3.</w:t>
      </w:r>
      <w:proofErr w:type="gramEnd"/>
      <w:r>
        <w:rPr>
          <w:sz w:val="22"/>
          <w:szCs w:val="22"/>
        </w:rPr>
        <w:t xml:space="preserve"> </w:t>
      </w:r>
    </w:p>
    <w:p w:rsidR="00254A13" w:rsidRDefault="00254A13">
      <w:pPr>
        <w:autoSpaceDE w:val="0"/>
        <w:autoSpaceDN w:val="0"/>
        <w:adjustRightInd w:val="0"/>
        <w:rPr>
          <w:sz w:val="22"/>
          <w:szCs w:val="22"/>
        </w:rPr>
      </w:pPr>
    </w:p>
    <w:p w:rsidR="00254A13" w:rsidRDefault="00254A13">
      <w:pPr>
        <w:autoSpaceDE w:val="0"/>
        <w:autoSpaceDN w:val="0"/>
        <w:adjustRightInd w:val="0"/>
        <w:rPr>
          <w:sz w:val="22"/>
          <w:szCs w:val="22"/>
        </w:rPr>
      </w:pPr>
      <w:r>
        <w:rPr>
          <w:sz w:val="22"/>
          <w:szCs w:val="22"/>
        </w:rPr>
        <w:t>In an order dated December 29, 2003, the United States District Court for the District of New Hampshire (</w:t>
      </w:r>
      <w:proofErr w:type="spellStart"/>
      <w:r>
        <w:rPr>
          <w:sz w:val="22"/>
          <w:szCs w:val="22"/>
        </w:rPr>
        <w:t>DiClerico</w:t>
      </w:r>
      <w:proofErr w:type="spellEnd"/>
      <w:r>
        <w:rPr>
          <w:sz w:val="22"/>
          <w:szCs w:val="22"/>
        </w:rPr>
        <w:t xml:space="preserve">, J.) declared the Act unconstitutional on its face and enjoined the Attorney General, and those acting pursuant to and under her direction and authority from enforcing the Act. </w:t>
      </w:r>
      <w:proofErr w:type="gramStart"/>
      <w:r>
        <w:rPr>
          <w:sz w:val="22"/>
          <w:szCs w:val="22"/>
        </w:rPr>
        <w:t>Appendix to the Petition for Writ of Certiorari (hereinafter “Pet. App.”) at 23.</w:t>
      </w:r>
      <w:proofErr w:type="gramEnd"/>
      <w:r>
        <w:rPr>
          <w:sz w:val="22"/>
          <w:szCs w:val="22"/>
        </w:rPr>
        <w:t xml:space="preserve"> </w:t>
      </w:r>
    </w:p>
    <w:p w:rsidR="00254A13" w:rsidRDefault="00254A13">
      <w:pPr>
        <w:autoSpaceDE w:val="0"/>
        <w:autoSpaceDN w:val="0"/>
        <w:adjustRightInd w:val="0"/>
        <w:rPr>
          <w:sz w:val="22"/>
          <w:szCs w:val="22"/>
        </w:rPr>
      </w:pPr>
    </w:p>
    <w:p w:rsidR="00254A13" w:rsidRDefault="00254A13">
      <w:pPr>
        <w:autoSpaceDE w:val="0"/>
        <w:autoSpaceDN w:val="0"/>
        <w:adjustRightInd w:val="0"/>
        <w:rPr>
          <w:sz w:val="22"/>
          <w:szCs w:val="22"/>
        </w:rPr>
      </w:pPr>
      <w:r>
        <w:rPr>
          <w:sz w:val="22"/>
          <w:szCs w:val="22"/>
        </w:rPr>
        <w:t xml:space="preserve">The district court found unconstitutional both the lack of an explicit health exception to protect the health of the pregnant minor, and the narrowness of the Act’s exception for abortions necessary to prevent the minor’s death. Pet. App. 33. The district court declined to rule on the constitutionality of the confidentiality provisions contained in the Act. Pet. App. 37-38. In its decision, the District Court relied in part on Dr. </w:t>
      </w:r>
      <w:proofErr w:type="spellStart"/>
      <w:r>
        <w:rPr>
          <w:sz w:val="22"/>
          <w:szCs w:val="22"/>
        </w:rPr>
        <w:t>Goldner’s</w:t>
      </w:r>
      <w:proofErr w:type="spellEnd"/>
      <w:r>
        <w:rPr>
          <w:sz w:val="22"/>
          <w:szCs w:val="22"/>
        </w:rPr>
        <w:t xml:space="preserve"> declaration that describes medical complications which may occur during pregnancy, putting pregnant minors at risk and requiring prompt or immediate termination of the pregnancy. Pet. App. 35-36. </w:t>
      </w:r>
    </w:p>
    <w:p w:rsidR="00254A13" w:rsidRDefault="00254A13">
      <w:pPr>
        <w:autoSpaceDE w:val="0"/>
        <w:autoSpaceDN w:val="0"/>
        <w:adjustRightInd w:val="0"/>
        <w:rPr>
          <w:sz w:val="22"/>
          <w:szCs w:val="22"/>
        </w:rPr>
      </w:pPr>
    </w:p>
    <w:p w:rsidR="00254A13" w:rsidRDefault="00254A13">
      <w:pPr>
        <w:autoSpaceDE w:val="0"/>
        <w:autoSpaceDN w:val="0"/>
        <w:adjustRightInd w:val="0"/>
        <w:rPr>
          <w:sz w:val="22"/>
          <w:szCs w:val="22"/>
        </w:rPr>
      </w:pPr>
      <w:r>
        <w:rPr>
          <w:sz w:val="22"/>
          <w:szCs w:val="22"/>
        </w:rPr>
        <w:t xml:space="preserve">While Dr. </w:t>
      </w:r>
      <w:proofErr w:type="spellStart"/>
      <w:r>
        <w:rPr>
          <w:sz w:val="22"/>
          <w:szCs w:val="22"/>
        </w:rPr>
        <w:t>Goldner</w:t>
      </w:r>
      <w:proofErr w:type="spellEnd"/>
      <w:r>
        <w:rPr>
          <w:sz w:val="22"/>
          <w:szCs w:val="22"/>
        </w:rPr>
        <w:t xml:space="preserve"> states in his declaration that there may be occasions during a pregnancy which require prompt or immediate termination of the pregnancy, he does not state whether he has had to use any medical procedures in an emergency situation during his many years of practice. J.A. 23-26. </w:t>
      </w:r>
    </w:p>
    <w:p w:rsidR="00254A13" w:rsidRDefault="00254A13">
      <w:pPr>
        <w:autoSpaceDE w:val="0"/>
        <w:autoSpaceDN w:val="0"/>
        <w:adjustRightInd w:val="0"/>
        <w:rPr>
          <w:sz w:val="22"/>
          <w:szCs w:val="22"/>
        </w:rPr>
      </w:pPr>
    </w:p>
    <w:p w:rsidR="00254A13" w:rsidRDefault="00254A13">
      <w:pPr>
        <w:autoSpaceDE w:val="0"/>
        <w:autoSpaceDN w:val="0"/>
        <w:adjustRightInd w:val="0"/>
        <w:rPr>
          <w:sz w:val="22"/>
          <w:szCs w:val="22"/>
        </w:rPr>
      </w:pPr>
      <w:r>
        <w:rPr>
          <w:sz w:val="22"/>
          <w:szCs w:val="22"/>
        </w:rPr>
        <w:t xml:space="preserve">The district court also stated that the judicial bypass provision of the Act necessarily delayed an abortion in a health emergency. Pet. App. 34. In a declaration of Jennifer </w:t>
      </w:r>
      <w:proofErr w:type="spellStart"/>
      <w:r>
        <w:rPr>
          <w:sz w:val="22"/>
          <w:szCs w:val="22"/>
        </w:rPr>
        <w:t>Sabino</w:t>
      </w:r>
      <w:proofErr w:type="spellEnd"/>
      <w:r>
        <w:rPr>
          <w:sz w:val="22"/>
          <w:szCs w:val="22"/>
        </w:rPr>
        <w:t xml:space="preserve">, she related her experience with the judicial bypass provisions in Massachusetts. She stated that approximately 16,000 judicial bypass hearings had been conducted in Massachusetts and that on only 15 occasions had a judge ruled that an abortion should not occur. </w:t>
      </w:r>
      <w:proofErr w:type="gramStart"/>
      <w:r>
        <w:rPr>
          <w:sz w:val="22"/>
          <w:szCs w:val="22"/>
        </w:rPr>
        <w:t>J.A. 39.</w:t>
      </w:r>
      <w:proofErr w:type="gramEnd"/>
      <w:r>
        <w:rPr>
          <w:sz w:val="22"/>
          <w:szCs w:val="22"/>
        </w:rPr>
        <w:t xml:space="preserve"> </w:t>
      </w:r>
    </w:p>
    <w:p w:rsidR="00254A13" w:rsidRDefault="00254A13">
      <w:pPr>
        <w:autoSpaceDE w:val="0"/>
        <w:autoSpaceDN w:val="0"/>
        <w:adjustRightInd w:val="0"/>
        <w:rPr>
          <w:sz w:val="22"/>
          <w:szCs w:val="22"/>
        </w:rPr>
      </w:pPr>
    </w:p>
    <w:p w:rsidR="00254A13" w:rsidRDefault="00254A13">
      <w:pPr>
        <w:autoSpaceDE w:val="0"/>
        <w:autoSpaceDN w:val="0"/>
        <w:adjustRightInd w:val="0"/>
        <w:rPr>
          <w:sz w:val="22"/>
          <w:szCs w:val="22"/>
        </w:rPr>
      </w:pPr>
      <w:r>
        <w:rPr>
          <w:sz w:val="22"/>
          <w:szCs w:val="22"/>
        </w:rPr>
        <w:t xml:space="preserve">The First Circuit affirmed the district court, finding that in deciding whether the Act is facially invalid, the </w:t>
      </w:r>
      <w:r>
        <w:rPr>
          <w:i/>
          <w:iCs/>
          <w:sz w:val="22"/>
          <w:szCs w:val="22"/>
        </w:rPr>
        <w:t xml:space="preserve">undue burden standard </w:t>
      </w:r>
      <w:r>
        <w:rPr>
          <w:sz w:val="22"/>
          <w:szCs w:val="22"/>
        </w:rPr>
        <w:t xml:space="preserve">set forth in </w:t>
      </w:r>
      <w:r>
        <w:rPr>
          <w:i/>
          <w:iCs/>
          <w:sz w:val="22"/>
          <w:szCs w:val="22"/>
        </w:rPr>
        <w:t>Planned Parenthood of S. Pa. v. Casey</w:t>
      </w:r>
      <w:r>
        <w:rPr>
          <w:sz w:val="22"/>
          <w:szCs w:val="22"/>
        </w:rPr>
        <w:t xml:space="preserve">, 505 U.S. 833, 876-77 (1992) should apply as opposed to the “no set of circumstances” standard set forth in </w:t>
      </w:r>
      <w:r>
        <w:rPr>
          <w:i/>
          <w:iCs/>
          <w:sz w:val="22"/>
          <w:szCs w:val="22"/>
        </w:rPr>
        <w:t>United States v. Salerno</w:t>
      </w:r>
      <w:r>
        <w:rPr>
          <w:sz w:val="22"/>
          <w:szCs w:val="22"/>
        </w:rPr>
        <w:t xml:space="preserve">, 481 U.S. 739 (1987). Pet. App. 9. Relying on </w:t>
      </w:r>
      <w:r>
        <w:rPr>
          <w:i/>
          <w:iCs/>
          <w:sz w:val="22"/>
          <w:szCs w:val="22"/>
        </w:rPr>
        <w:t xml:space="preserve">Stenberg v. </w:t>
      </w:r>
      <w:proofErr w:type="spellStart"/>
      <w:r>
        <w:rPr>
          <w:i/>
          <w:iCs/>
          <w:sz w:val="22"/>
          <w:szCs w:val="22"/>
        </w:rPr>
        <w:t>Carhart</w:t>
      </w:r>
      <w:proofErr w:type="spellEnd"/>
      <w:r>
        <w:rPr>
          <w:sz w:val="22"/>
          <w:szCs w:val="22"/>
        </w:rPr>
        <w:t xml:space="preserve">, 530 U.S. 914 (2000), the First Circuit also ruled that complementing the undue burden standard, there is a specific and independent constitutional requirement that all abortion regulations must contain a health exception. The First Circuit determined that because the Act contains no explicit health exception, and because no health exception is implied by other provisions of New Hampshire law or by the Act’s judicial bypass procedure, the Act is facially unconstitutional. Pet. App. 17-18. The First Circuit further concluded that because the death exception contained in the Act was drawn too narrowly and because the Act fails to safeguard a physician’s good faith medical judgment that a minor’s life is at risk against criminal and civil liability, the Act was unconstitutional. Pet. App. 20. Because the First Circuit found the Act in its entirety </w:t>
      </w:r>
      <w:r>
        <w:rPr>
          <w:sz w:val="22"/>
          <w:szCs w:val="22"/>
        </w:rPr>
        <w:lastRenderedPageBreak/>
        <w:t xml:space="preserve">unconstitutional on the aforementioned grounds, it declined to address whether the confidentiality provisions contained in the Act are constitutional. Pet. App. 38. </w:t>
      </w:r>
    </w:p>
    <w:sectPr w:rsidR="00254A13">
      <w:footerReference w:type="even"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2909" w:rsidRDefault="00332909">
      <w:r>
        <w:separator/>
      </w:r>
    </w:p>
  </w:endnote>
  <w:endnote w:type="continuationSeparator" w:id="0">
    <w:p w:rsidR="00332909" w:rsidRDefault="00332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A13" w:rsidRDefault="00254A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54A13" w:rsidRDefault="00254A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2909" w:rsidRDefault="00332909">
      <w:r>
        <w:separator/>
      </w:r>
    </w:p>
  </w:footnote>
  <w:footnote w:type="continuationSeparator" w:id="0">
    <w:p w:rsidR="00332909" w:rsidRDefault="003329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1B24"/>
    <w:rsid w:val="00111B24"/>
    <w:rsid w:val="001206EC"/>
    <w:rsid w:val="00254A13"/>
    <w:rsid w:val="00332909"/>
    <w:rsid w:val="003527CB"/>
    <w:rsid w:val="00634409"/>
    <w:rsid w:val="007B089E"/>
    <w:rsid w:val="00837C63"/>
    <w:rsid w:val="00971084"/>
    <w:rsid w:val="00AC0D09"/>
    <w:rsid w:val="00C05D9B"/>
    <w:rsid w:val="00DE0F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ableofAuthorities">
    <w:name w:val="table of authorities"/>
    <w:basedOn w:val="Normal"/>
    <w:next w:val="Normal"/>
    <w:semiHidden/>
    <w:pPr>
      <w:ind w:left="240" w:hanging="240"/>
    </w:pPr>
  </w:style>
  <w:style w:type="paragraph" w:styleId="TOAHeading">
    <w:name w:val="toa heading"/>
    <w:basedOn w:val="Normal"/>
    <w:next w:val="Normal"/>
    <w:semiHidden/>
    <w:pPr>
      <w:spacing w:before="120"/>
    </w:pPr>
    <w:rPr>
      <w:rFonts w:ascii="Arial" w:hAnsi="Arial"/>
      <w:b/>
      <w:bCs/>
    </w:r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Header">
    <w:name w:val="header"/>
    <w:basedOn w:val="Normal"/>
    <w:link w:val="HeaderChar"/>
    <w:uiPriority w:val="99"/>
    <w:semiHidden/>
    <w:unhideWhenUsed/>
    <w:rsid w:val="00111B24"/>
    <w:pPr>
      <w:tabs>
        <w:tab w:val="center" w:pos="4680"/>
        <w:tab w:val="right" w:pos="9360"/>
      </w:tabs>
    </w:pPr>
  </w:style>
  <w:style w:type="character" w:customStyle="1" w:styleId="HeaderChar">
    <w:name w:val="Header Char"/>
    <w:basedOn w:val="DefaultParagraphFont"/>
    <w:link w:val="Header"/>
    <w:uiPriority w:val="99"/>
    <w:semiHidden/>
    <w:rsid w:val="00111B2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ableofAuthorities">
    <w:name w:val="table of authorities"/>
    <w:basedOn w:val="Normal"/>
    <w:next w:val="Normal"/>
    <w:semiHidden/>
    <w:pPr>
      <w:ind w:left="240" w:hanging="240"/>
    </w:pPr>
  </w:style>
  <w:style w:type="paragraph" w:styleId="TOAHeading">
    <w:name w:val="toa heading"/>
    <w:basedOn w:val="Normal"/>
    <w:next w:val="Normal"/>
    <w:semiHidden/>
    <w:pPr>
      <w:spacing w:before="120"/>
    </w:pPr>
    <w:rPr>
      <w:rFonts w:ascii="Arial" w:hAnsi="Arial"/>
      <w:b/>
      <w:bCs/>
    </w:r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Header">
    <w:name w:val="header"/>
    <w:basedOn w:val="Normal"/>
    <w:link w:val="HeaderChar"/>
    <w:uiPriority w:val="99"/>
    <w:semiHidden/>
    <w:unhideWhenUsed/>
    <w:rsid w:val="00111B24"/>
    <w:pPr>
      <w:tabs>
        <w:tab w:val="center" w:pos="4680"/>
        <w:tab w:val="right" w:pos="9360"/>
      </w:tabs>
    </w:pPr>
  </w:style>
  <w:style w:type="character" w:customStyle="1" w:styleId="HeaderChar">
    <w:name w:val="Header Char"/>
    <w:basedOn w:val="DefaultParagraphFont"/>
    <w:link w:val="Header"/>
    <w:uiPriority w:val="99"/>
    <w:semiHidden/>
    <w:rsid w:val="00111B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1350</Words>
  <Characters>7698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No</vt:lpstr>
    </vt:vector>
  </TitlesOfParts>
  <Company>Softek services, Inc</Company>
  <LinksUpToDate>false</LinksUpToDate>
  <CharactersWithSpaces>9030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dc:title>
  <dc:creator>llear</dc:creator>
  <cp:lastModifiedBy>Marianne Koster</cp:lastModifiedBy>
  <cp:revision>2</cp:revision>
  <dcterms:created xsi:type="dcterms:W3CDTF">2014-04-23T21:26:00Z</dcterms:created>
  <dcterms:modified xsi:type="dcterms:W3CDTF">2014-04-23T21:26:00Z</dcterms:modified>
</cp:coreProperties>
</file>